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78AD" w14:textId="77777777" w:rsidR="0014428C" w:rsidRDefault="0014428C">
      <w:pPr>
        <w:jc w:val="center"/>
        <w:rPr>
          <w:b/>
          <w:sz w:val="28"/>
          <w:szCs w:val="28"/>
          <w:u w:val="single"/>
        </w:rPr>
      </w:pPr>
      <w:bookmarkStart w:id="0" w:name="_gjdgxs" w:colFirst="0" w:colLast="0"/>
      <w:bookmarkStart w:id="1" w:name="_GoBack"/>
      <w:bookmarkEnd w:id="0"/>
      <w:bookmarkEnd w:id="1"/>
    </w:p>
    <w:p w14:paraId="463E4B94" w14:textId="77777777" w:rsidR="0014428C" w:rsidRDefault="0014428C">
      <w:pPr>
        <w:jc w:val="center"/>
        <w:rPr>
          <w:b/>
          <w:sz w:val="28"/>
          <w:szCs w:val="28"/>
          <w:u w:val="single"/>
        </w:rPr>
      </w:pPr>
    </w:p>
    <w:p w14:paraId="6EBC72FB" w14:textId="77777777" w:rsidR="00A41C85" w:rsidRPr="0014428C" w:rsidRDefault="0014428C">
      <w:pPr>
        <w:jc w:val="center"/>
        <w:rPr>
          <w:b/>
          <w:sz w:val="28"/>
          <w:szCs w:val="28"/>
          <w:u w:val="single"/>
        </w:rPr>
      </w:pPr>
      <w:r w:rsidRPr="0014428C">
        <w:rPr>
          <w:b/>
          <w:sz w:val="28"/>
          <w:szCs w:val="28"/>
          <w:u w:val="single"/>
        </w:rPr>
        <w:t>Summary of NAC Changes Effective 8/30/18</w:t>
      </w:r>
    </w:p>
    <w:p w14:paraId="4E9409DC" w14:textId="77777777" w:rsidR="00A41C85" w:rsidRDefault="00A41C85">
      <w:pPr>
        <w:jc w:val="center"/>
      </w:pPr>
    </w:p>
    <w:p w14:paraId="204B0E5F" w14:textId="046FFCF7" w:rsidR="00A41C85" w:rsidRPr="0014428C" w:rsidRDefault="0014428C">
      <w:pPr>
        <w:rPr>
          <w:sz w:val="22"/>
          <w:szCs w:val="22"/>
        </w:rPr>
      </w:pPr>
      <w:r w:rsidRPr="0014428C">
        <w:rPr>
          <w:sz w:val="22"/>
          <w:szCs w:val="22"/>
        </w:rPr>
        <w:t>On August 30, 2018, the Nevada Legislative Commission approved R</w:t>
      </w:r>
      <w:r w:rsidR="0086480A" w:rsidRPr="0014428C">
        <w:rPr>
          <w:sz w:val="22"/>
          <w:szCs w:val="22"/>
        </w:rPr>
        <w:t>-</w:t>
      </w:r>
      <w:r w:rsidRPr="0014428C">
        <w:rPr>
          <w:sz w:val="22"/>
          <w:szCs w:val="22"/>
        </w:rPr>
        <w:t xml:space="preserve">094-18 following </w:t>
      </w:r>
      <w:r w:rsidR="0086480A" w:rsidRPr="0014428C">
        <w:rPr>
          <w:sz w:val="22"/>
          <w:szCs w:val="22"/>
        </w:rPr>
        <w:t xml:space="preserve">the </w:t>
      </w:r>
      <w:r w:rsidRPr="0014428C">
        <w:rPr>
          <w:sz w:val="22"/>
          <w:szCs w:val="22"/>
        </w:rPr>
        <w:t>Board of Ex</w:t>
      </w:r>
      <w:r w:rsidR="0086480A" w:rsidRPr="0014428C">
        <w:rPr>
          <w:sz w:val="22"/>
          <w:szCs w:val="22"/>
        </w:rPr>
        <w:t>amin</w:t>
      </w:r>
      <w:r w:rsidRPr="0014428C">
        <w:rPr>
          <w:sz w:val="22"/>
          <w:szCs w:val="22"/>
        </w:rPr>
        <w:t xml:space="preserve">ers adoption on August 24. This regulation contains the changes to section 641A of the Nevada Administrative Code </w:t>
      </w:r>
      <w:r w:rsidR="0086480A" w:rsidRPr="0014428C">
        <w:rPr>
          <w:sz w:val="22"/>
          <w:szCs w:val="22"/>
        </w:rPr>
        <w:t xml:space="preserve">(NAC) </w:t>
      </w:r>
      <w:r w:rsidRPr="0014428C">
        <w:rPr>
          <w:sz w:val="22"/>
          <w:szCs w:val="22"/>
        </w:rPr>
        <w:t>relating to the practice of Marriage and Family Therapists and Clinical Professional Counselors. The approval of these NAC changes is the culmination of a process that began more than a year ago.</w:t>
      </w:r>
    </w:p>
    <w:p w14:paraId="7A7316FE" w14:textId="77777777" w:rsidR="00A41C85" w:rsidRPr="0014428C" w:rsidRDefault="00A41C85">
      <w:pPr>
        <w:rPr>
          <w:sz w:val="22"/>
          <w:szCs w:val="22"/>
        </w:rPr>
      </w:pPr>
    </w:p>
    <w:p w14:paraId="2C460F3A" w14:textId="220C8439" w:rsidR="00A41C85" w:rsidRPr="0014428C" w:rsidRDefault="0014428C">
      <w:pPr>
        <w:rPr>
          <w:b/>
          <w:sz w:val="22"/>
          <w:szCs w:val="22"/>
        </w:rPr>
      </w:pPr>
      <w:r w:rsidRPr="0014428C">
        <w:rPr>
          <w:sz w:val="22"/>
          <w:szCs w:val="22"/>
        </w:rPr>
        <w:t>As a guide to making sense of the NAC changes, the following summation of highlights is provided. To understand all of the NAC changes</w:t>
      </w:r>
      <w:r w:rsidRPr="0014428C">
        <w:rPr>
          <w:b/>
          <w:sz w:val="22"/>
          <w:szCs w:val="22"/>
        </w:rPr>
        <w:t>, it is the resp</w:t>
      </w:r>
      <w:r w:rsidR="00D14120" w:rsidRPr="0014428C">
        <w:rPr>
          <w:b/>
          <w:sz w:val="22"/>
          <w:szCs w:val="22"/>
        </w:rPr>
        <w:t>onsibility of the reader to review</w:t>
      </w:r>
      <w:r w:rsidRPr="0014428C">
        <w:rPr>
          <w:b/>
          <w:sz w:val="22"/>
          <w:szCs w:val="22"/>
        </w:rPr>
        <w:t xml:space="preserve"> R-</w:t>
      </w:r>
      <w:r w:rsidR="00C53726" w:rsidRPr="0014428C">
        <w:rPr>
          <w:b/>
          <w:sz w:val="22"/>
          <w:szCs w:val="22"/>
        </w:rPr>
        <w:t>094-18 for themselves.</w:t>
      </w:r>
    </w:p>
    <w:p w14:paraId="16C2EEC7" w14:textId="77777777" w:rsidR="00A41C85" w:rsidRPr="0014428C" w:rsidRDefault="00A41C85">
      <w:pPr>
        <w:rPr>
          <w:sz w:val="22"/>
          <w:szCs w:val="22"/>
        </w:rPr>
      </w:pPr>
    </w:p>
    <w:p w14:paraId="4F4EFF71" w14:textId="57483B7D" w:rsidR="00A41C85" w:rsidRPr="0014428C" w:rsidRDefault="0014428C">
      <w:pPr>
        <w:rPr>
          <w:sz w:val="22"/>
          <w:szCs w:val="22"/>
        </w:rPr>
      </w:pPr>
      <w:r w:rsidRPr="0014428C">
        <w:rPr>
          <w:i/>
          <w:sz w:val="22"/>
          <w:szCs w:val="22"/>
        </w:rPr>
        <w:t>Supervisor Capacity Expanded</w:t>
      </w:r>
    </w:p>
    <w:p w14:paraId="24AA5FE7" w14:textId="77777777" w:rsidR="00A41C85" w:rsidRPr="0014428C" w:rsidRDefault="001442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 w:rsidRPr="0014428C">
        <w:rPr>
          <w:color w:val="000000"/>
          <w:sz w:val="22"/>
          <w:szCs w:val="22"/>
        </w:rPr>
        <w:t>The cap for supervisors of primary supervisees has been increased from 6 to 10.</w:t>
      </w:r>
    </w:p>
    <w:p w14:paraId="372DF031" w14:textId="77777777" w:rsidR="00A41C85" w:rsidRPr="0014428C" w:rsidRDefault="001442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 w:rsidRPr="0014428C">
        <w:rPr>
          <w:color w:val="000000"/>
          <w:sz w:val="22"/>
          <w:szCs w:val="22"/>
        </w:rPr>
        <w:t>The three-year residency requirement for living in Nevada has been eliminated.</w:t>
      </w:r>
    </w:p>
    <w:p w14:paraId="78646861" w14:textId="77777777" w:rsidR="00A41C85" w:rsidRPr="0014428C" w:rsidRDefault="001442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 w:rsidRPr="0014428C">
        <w:rPr>
          <w:color w:val="000000"/>
          <w:sz w:val="22"/>
          <w:szCs w:val="22"/>
        </w:rPr>
        <w:t>Other allied mental health professionals – specifically licensed psychologists, psychiatrists, and social workers – will now be approved, providing they have received the requisite training, as secondary providers in extenuating circumstances and/or upon the recommendation of an intern’s primary supervisor.</w:t>
      </w:r>
    </w:p>
    <w:p w14:paraId="3F05569C" w14:textId="77777777" w:rsidR="00A41C85" w:rsidRPr="0014428C" w:rsidRDefault="00A41C85">
      <w:pPr>
        <w:rPr>
          <w:sz w:val="22"/>
          <w:szCs w:val="22"/>
        </w:rPr>
      </w:pPr>
    </w:p>
    <w:p w14:paraId="4AD884CC" w14:textId="77777777" w:rsidR="00A41C85" w:rsidRPr="0014428C" w:rsidRDefault="0014428C">
      <w:pPr>
        <w:rPr>
          <w:i/>
          <w:sz w:val="22"/>
          <w:szCs w:val="22"/>
        </w:rPr>
      </w:pPr>
      <w:r w:rsidRPr="0014428C">
        <w:rPr>
          <w:i/>
          <w:sz w:val="22"/>
          <w:szCs w:val="22"/>
        </w:rPr>
        <w:t>Supervisor Accountability Increased</w:t>
      </w:r>
    </w:p>
    <w:p w14:paraId="6F6B760D" w14:textId="77777777" w:rsidR="00A41C85" w:rsidRPr="0014428C" w:rsidRDefault="001442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00"/>
          <w:sz w:val="22"/>
          <w:szCs w:val="22"/>
        </w:rPr>
      </w:pPr>
      <w:r w:rsidRPr="0014428C">
        <w:rPr>
          <w:color w:val="000000"/>
          <w:sz w:val="22"/>
          <w:szCs w:val="22"/>
        </w:rPr>
        <w:t>Primary supervisors must meet with primary supervisees at least 1 hour per week.</w:t>
      </w:r>
    </w:p>
    <w:p w14:paraId="089CB8CD" w14:textId="77777777" w:rsidR="00A41C85" w:rsidRPr="0014428C" w:rsidRDefault="001442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00"/>
          <w:sz w:val="22"/>
          <w:szCs w:val="22"/>
        </w:rPr>
      </w:pPr>
      <w:r w:rsidRPr="0014428C">
        <w:rPr>
          <w:color w:val="000000"/>
          <w:sz w:val="22"/>
          <w:szCs w:val="22"/>
        </w:rPr>
        <w:t>Primary supervisors are required to document any variation from this schedule</w:t>
      </w:r>
      <w:r w:rsidRPr="0014428C">
        <w:rPr>
          <w:sz w:val="22"/>
          <w:szCs w:val="22"/>
        </w:rPr>
        <w:t xml:space="preserve"> (in case of audit)</w:t>
      </w:r>
      <w:r w:rsidRPr="0014428C">
        <w:rPr>
          <w:color w:val="000000"/>
          <w:sz w:val="22"/>
          <w:szCs w:val="22"/>
        </w:rPr>
        <w:t>.</w:t>
      </w:r>
    </w:p>
    <w:p w14:paraId="7F6A4F7C" w14:textId="77777777" w:rsidR="00A41C85" w:rsidRPr="0014428C" w:rsidRDefault="00A41C85">
      <w:pPr>
        <w:rPr>
          <w:sz w:val="22"/>
          <w:szCs w:val="22"/>
        </w:rPr>
      </w:pPr>
    </w:p>
    <w:p w14:paraId="2C783F09" w14:textId="77777777" w:rsidR="00A41C85" w:rsidRPr="0014428C" w:rsidRDefault="0014428C">
      <w:pPr>
        <w:rPr>
          <w:sz w:val="22"/>
          <w:szCs w:val="22"/>
        </w:rPr>
      </w:pPr>
      <w:r w:rsidRPr="0014428C">
        <w:rPr>
          <w:i/>
          <w:sz w:val="22"/>
          <w:szCs w:val="22"/>
        </w:rPr>
        <w:t>Academic Standards Lifted and Supported</w:t>
      </w:r>
    </w:p>
    <w:p w14:paraId="1C1700D5" w14:textId="77777777" w:rsidR="00A41C85" w:rsidRPr="0014428C" w:rsidRDefault="00C537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 w:rsidRPr="0014428C">
        <w:rPr>
          <w:color w:val="000000"/>
          <w:sz w:val="22"/>
          <w:szCs w:val="22"/>
        </w:rPr>
        <w:t>The following required c</w:t>
      </w:r>
      <w:r w:rsidR="0014428C" w:rsidRPr="0014428C">
        <w:rPr>
          <w:color w:val="000000"/>
          <w:sz w:val="22"/>
          <w:szCs w:val="22"/>
        </w:rPr>
        <w:t>ourses for MFTs have been added</w:t>
      </w:r>
      <w:r w:rsidRPr="0014428C">
        <w:rPr>
          <w:color w:val="000000"/>
          <w:sz w:val="22"/>
          <w:szCs w:val="22"/>
        </w:rPr>
        <w:t xml:space="preserve">: crisis or trauma; </w:t>
      </w:r>
      <w:r w:rsidR="0014428C" w:rsidRPr="0014428C">
        <w:rPr>
          <w:color w:val="000000"/>
          <w:sz w:val="22"/>
          <w:szCs w:val="22"/>
        </w:rPr>
        <w:t>grief or loss</w:t>
      </w:r>
      <w:r w:rsidRPr="0014428C">
        <w:rPr>
          <w:color w:val="000000"/>
          <w:sz w:val="22"/>
          <w:szCs w:val="22"/>
        </w:rPr>
        <w:t>;</w:t>
      </w:r>
      <w:r w:rsidR="0014428C" w:rsidRPr="0014428C">
        <w:rPr>
          <w:color w:val="000000"/>
          <w:sz w:val="22"/>
          <w:szCs w:val="22"/>
        </w:rPr>
        <w:t xml:space="preserve"> and </w:t>
      </w:r>
      <w:r w:rsidR="0014428C" w:rsidRPr="0014428C">
        <w:rPr>
          <w:sz w:val="22"/>
          <w:szCs w:val="22"/>
        </w:rPr>
        <w:t>social/cultural foundations</w:t>
      </w:r>
      <w:r w:rsidR="0014428C" w:rsidRPr="0014428C">
        <w:rPr>
          <w:color w:val="000000"/>
          <w:sz w:val="22"/>
          <w:szCs w:val="22"/>
        </w:rPr>
        <w:t>.</w:t>
      </w:r>
    </w:p>
    <w:p w14:paraId="3987A693" w14:textId="77777777" w:rsidR="00A41C85" w:rsidRPr="0014428C" w:rsidRDefault="00C537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 w:rsidRPr="0014428C">
        <w:rPr>
          <w:color w:val="000000"/>
          <w:sz w:val="22"/>
          <w:szCs w:val="22"/>
        </w:rPr>
        <w:t xml:space="preserve">The following required courses for </w:t>
      </w:r>
      <w:r w:rsidR="0014428C" w:rsidRPr="0014428C">
        <w:rPr>
          <w:color w:val="000000"/>
          <w:sz w:val="22"/>
          <w:szCs w:val="22"/>
        </w:rPr>
        <w:t>CPCs have been added</w:t>
      </w:r>
      <w:r w:rsidRPr="0014428C">
        <w:rPr>
          <w:color w:val="000000"/>
          <w:sz w:val="22"/>
          <w:szCs w:val="22"/>
        </w:rPr>
        <w:t>: human sexuality; couples counseling; family systems; crisis or trauma;</w:t>
      </w:r>
      <w:r w:rsidR="0014428C" w:rsidRPr="0014428C">
        <w:rPr>
          <w:color w:val="000000"/>
          <w:sz w:val="22"/>
          <w:szCs w:val="22"/>
        </w:rPr>
        <w:t xml:space="preserve"> and grief or loss.</w:t>
      </w:r>
    </w:p>
    <w:p w14:paraId="240E1BE9" w14:textId="77777777" w:rsidR="00A41C85" w:rsidRPr="0014428C" w:rsidRDefault="001442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 w:rsidRPr="0014428C">
        <w:rPr>
          <w:color w:val="000000"/>
          <w:sz w:val="22"/>
          <w:szCs w:val="22"/>
        </w:rPr>
        <w:t>Graduates from COAMFTE or CACREP accredited programs are now considered to have fulfilled the NRS educational requirements for licensure as an intern.</w:t>
      </w:r>
    </w:p>
    <w:p w14:paraId="4C519090" w14:textId="77777777" w:rsidR="00A41C85" w:rsidRPr="0014428C" w:rsidRDefault="00A41C85">
      <w:pPr>
        <w:rPr>
          <w:sz w:val="22"/>
          <w:szCs w:val="22"/>
        </w:rPr>
      </w:pPr>
    </w:p>
    <w:p w14:paraId="7023B2C3" w14:textId="77777777" w:rsidR="00A41C85" w:rsidRPr="0014428C" w:rsidRDefault="0014428C">
      <w:pPr>
        <w:rPr>
          <w:sz w:val="22"/>
          <w:szCs w:val="22"/>
        </w:rPr>
      </w:pPr>
      <w:r w:rsidRPr="0014428C">
        <w:rPr>
          <w:i/>
          <w:sz w:val="22"/>
          <w:szCs w:val="22"/>
        </w:rPr>
        <w:t>Intern Application Process Streamlined</w:t>
      </w:r>
    </w:p>
    <w:p w14:paraId="248DC380" w14:textId="77777777" w:rsidR="00A41C85" w:rsidRPr="0014428C" w:rsidRDefault="001442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 w:rsidRPr="0014428C">
        <w:rPr>
          <w:color w:val="000000"/>
          <w:sz w:val="22"/>
          <w:szCs w:val="22"/>
        </w:rPr>
        <w:t>Letters of reference are no longer required.</w:t>
      </w:r>
    </w:p>
    <w:p w14:paraId="6D91C543" w14:textId="43C6D8F6" w:rsidR="00A41C85" w:rsidRPr="0014428C" w:rsidRDefault="001442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 w:rsidRPr="0014428C">
        <w:rPr>
          <w:color w:val="000000"/>
          <w:sz w:val="22"/>
          <w:szCs w:val="22"/>
        </w:rPr>
        <w:t xml:space="preserve">Personal interviews are </w:t>
      </w:r>
      <w:r w:rsidR="00D14120" w:rsidRPr="0014428C">
        <w:rPr>
          <w:sz w:val="22"/>
          <w:szCs w:val="22"/>
        </w:rPr>
        <w:t xml:space="preserve">no longer required for all licensees, </w:t>
      </w:r>
      <w:r w:rsidR="00D14120" w:rsidRPr="0014428C">
        <w:rPr>
          <w:color w:val="000000"/>
          <w:sz w:val="22"/>
          <w:szCs w:val="22"/>
        </w:rPr>
        <w:t>and only required on a case-by-case basis for those applicants with positive background inquiries.</w:t>
      </w:r>
    </w:p>
    <w:p w14:paraId="0C498B49" w14:textId="77777777" w:rsidR="00A41C85" w:rsidRPr="0014428C" w:rsidRDefault="00A41C85">
      <w:pPr>
        <w:rPr>
          <w:sz w:val="22"/>
          <w:szCs w:val="22"/>
        </w:rPr>
      </w:pPr>
    </w:p>
    <w:p w14:paraId="7C713161" w14:textId="77777777" w:rsidR="00A41C85" w:rsidRPr="0014428C" w:rsidRDefault="0014428C">
      <w:pPr>
        <w:rPr>
          <w:sz w:val="22"/>
          <w:szCs w:val="22"/>
        </w:rPr>
      </w:pPr>
      <w:r w:rsidRPr="0014428C">
        <w:rPr>
          <w:i/>
          <w:sz w:val="22"/>
          <w:szCs w:val="22"/>
        </w:rPr>
        <w:t>More Flexible National Exam Process</w:t>
      </w:r>
    </w:p>
    <w:p w14:paraId="1D80497B" w14:textId="77777777" w:rsidR="00A41C85" w:rsidRPr="0014428C" w:rsidRDefault="001442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 w:rsidRPr="0014428C">
        <w:rPr>
          <w:color w:val="000000"/>
          <w:sz w:val="22"/>
          <w:szCs w:val="22"/>
        </w:rPr>
        <w:t>MFTs now have same ability as CPCs to take national exam during their final semester of graduate study.</w:t>
      </w:r>
    </w:p>
    <w:p w14:paraId="5D8FB53F" w14:textId="3E7E2DB5" w:rsidR="00A41C85" w:rsidRPr="0014428C" w:rsidRDefault="001442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 w:rsidRPr="0014428C">
        <w:rPr>
          <w:color w:val="000000"/>
          <w:sz w:val="22"/>
          <w:szCs w:val="22"/>
        </w:rPr>
        <w:t xml:space="preserve">Both MFTs and CPCs now have the ability to take their exams three </w:t>
      </w:r>
      <w:r w:rsidRPr="0014428C">
        <w:rPr>
          <w:sz w:val="22"/>
          <w:szCs w:val="22"/>
        </w:rPr>
        <w:t>times</w:t>
      </w:r>
      <w:r w:rsidRPr="0014428C">
        <w:rPr>
          <w:color w:val="000000"/>
          <w:sz w:val="22"/>
          <w:szCs w:val="22"/>
        </w:rPr>
        <w:t xml:space="preserve"> in one year if needed.</w:t>
      </w:r>
    </w:p>
    <w:p w14:paraId="6D290940" w14:textId="77777777" w:rsidR="00A41C85" w:rsidRPr="0014428C" w:rsidRDefault="00A41C85">
      <w:pPr>
        <w:rPr>
          <w:sz w:val="22"/>
          <w:szCs w:val="22"/>
        </w:rPr>
      </w:pPr>
    </w:p>
    <w:p w14:paraId="5A54D482" w14:textId="77777777" w:rsidR="00A41C85" w:rsidRPr="0014428C" w:rsidRDefault="0014428C">
      <w:pPr>
        <w:rPr>
          <w:sz w:val="22"/>
          <w:szCs w:val="22"/>
        </w:rPr>
      </w:pPr>
      <w:r w:rsidRPr="0014428C">
        <w:rPr>
          <w:i/>
          <w:sz w:val="22"/>
          <w:szCs w:val="22"/>
        </w:rPr>
        <w:t>CEU Options Broadened and Clarified</w:t>
      </w:r>
    </w:p>
    <w:p w14:paraId="03696D9A" w14:textId="77777777" w:rsidR="00A41C85" w:rsidRPr="0014428C" w:rsidRDefault="001442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 w:rsidRPr="0014428C">
        <w:rPr>
          <w:color w:val="000000"/>
          <w:sz w:val="22"/>
          <w:szCs w:val="22"/>
        </w:rPr>
        <w:t>CEU credits may be earned for teaching and graduate-level coursework.</w:t>
      </w:r>
    </w:p>
    <w:p w14:paraId="7E9E4F69" w14:textId="272C375E" w:rsidR="00A41C85" w:rsidRPr="0014428C" w:rsidRDefault="001442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 w:rsidRPr="0014428C">
        <w:rPr>
          <w:color w:val="000000"/>
          <w:sz w:val="22"/>
          <w:szCs w:val="22"/>
        </w:rPr>
        <w:t>CEU credits may now be earned by attending MFT/CPC BOE meetings</w:t>
      </w:r>
      <w:r w:rsidR="0029473F">
        <w:rPr>
          <w:color w:val="000000"/>
          <w:sz w:val="22"/>
          <w:szCs w:val="22"/>
        </w:rPr>
        <w:t xml:space="preserve"> </w:t>
      </w:r>
      <w:r w:rsidR="0029473F" w:rsidRPr="0029473F">
        <w:rPr>
          <w:color w:val="000000"/>
          <w:sz w:val="22"/>
          <w:szCs w:val="22"/>
        </w:rPr>
        <w:t>(unless the Board is considering action against the licensee)</w:t>
      </w:r>
      <w:r w:rsidRPr="0014428C">
        <w:rPr>
          <w:color w:val="000000"/>
          <w:sz w:val="22"/>
          <w:szCs w:val="22"/>
        </w:rPr>
        <w:t xml:space="preserve">; </w:t>
      </w:r>
      <w:r w:rsidR="0029473F">
        <w:rPr>
          <w:color w:val="000000"/>
          <w:sz w:val="22"/>
          <w:szCs w:val="22"/>
        </w:rPr>
        <w:t xml:space="preserve">or </w:t>
      </w:r>
      <w:r w:rsidRPr="0014428C">
        <w:rPr>
          <w:color w:val="000000"/>
          <w:sz w:val="22"/>
          <w:szCs w:val="22"/>
        </w:rPr>
        <w:t>attending meetings or events of coalitions, committees, or boards related to community health care.</w:t>
      </w:r>
    </w:p>
    <w:p w14:paraId="1A595E44" w14:textId="09AC5884" w:rsidR="00A41C85" w:rsidRPr="0014428C" w:rsidRDefault="001442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 w:rsidRPr="0014428C">
        <w:rPr>
          <w:color w:val="000000"/>
          <w:sz w:val="22"/>
          <w:szCs w:val="22"/>
        </w:rPr>
        <w:t>MFTs and CPCs are now able to earn all CEUs online if interactive and live. Otherwise, there is a 10 hour limit on CEUs earned through non-interactive and non-live platforms.</w:t>
      </w:r>
    </w:p>
    <w:p w14:paraId="71821890" w14:textId="4D688ADA" w:rsidR="00A41C85" w:rsidRPr="0014428C" w:rsidRDefault="002947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="0014428C" w:rsidRPr="0014428C">
        <w:rPr>
          <w:color w:val="000000"/>
          <w:sz w:val="22"/>
          <w:szCs w:val="22"/>
        </w:rPr>
        <w:t>oard and staff now have a clear process to follow for approving CEU providers and courses.</w:t>
      </w:r>
    </w:p>
    <w:p w14:paraId="26F53F8E" w14:textId="77777777" w:rsidR="00A41C85" w:rsidRPr="0014428C" w:rsidRDefault="00A41C8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993EC26" w14:textId="77777777" w:rsidR="00A41C85" w:rsidRPr="0014428C" w:rsidRDefault="0014428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14428C">
        <w:rPr>
          <w:i/>
          <w:sz w:val="22"/>
          <w:szCs w:val="22"/>
        </w:rPr>
        <w:t>CPC Practice Scope Restriction Rescinded</w:t>
      </w:r>
    </w:p>
    <w:p w14:paraId="2AD7452C" w14:textId="77777777" w:rsidR="00A41C85" w:rsidRPr="0014428C" w:rsidRDefault="001442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 w:rsidRPr="0014428C">
        <w:rPr>
          <w:sz w:val="22"/>
          <w:szCs w:val="22"/>
        </w:rPr>
        <w:t>Regulation R091-14, adopted in April 2016, has been deleted in full, meaning that all CPCs have the practice scope listed in NRS.</w:t>
      </w:r>
    </w:p>
    <w:p w14:paraId="1F857AE2" w14:textId="77777777" w:rsidR="00A41C85" w:rsidRPr="0014428C" w:rsidRDefault="0014428C" w:rsidP="0014428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sz w:val="22"/>
          <w:szCs w:val="22"/>
        </w:rPr>
      </w:pPr>
      <w:r w:rsidRPr="0014428C">
        <w:rPr>
          <w:i/>
          <w:sz w:val="22"/>
          <w:szCs w:val="22"/>
        </w:rPr>
        <w:t>note: all licensees should still practice only within their ethically determined scopes of competence</w:t>
      </w:r>
    </w:p>
    <w:sectPr w:rsidR="00A41C85" w:rsidRPr="0014428C" w:rsidSect="0014428C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16B34"/>
    <w:multiLevelType w:val="multilevel"/>
    <w:tmpl w:val="F66AD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250167"/>
    <w:multiLevelType w:val="multilevel"/>
    <w:tmpl w:val="E1FE6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B41B84"/>
    <w:multiLevelType w:val="multilevel"/>
    <w:tmpl w:val="7EAAE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442BB6"/>
    <w:multiLevelType w:val="multilevel"/>
    <w:tmpl w:val="59E41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C97F2E"/>
    <w:multiLevelType w:val="multilevel"/>
    <w:tmpl w:val="94B66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E04BBB"/>
    <w:multiLevelType w:val="multilevel"/>
    <w:tmpl w:val="04BAC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A70A53"/>
    <w:multiLevelType w:val="multilevel"/>
    <w:tmpl w:val="A7805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85"/>
    <w:rsid w:val="0014428C"/>
    <w:rsid w:val="00162A68"/>
    <w:rsid w:val="0029473F"/>
    <w:rsid w:val="006F63BA"/>
    <w:rsid w:val="0086480A"/>
    <w:rsid w:val="00A41C85"/>
    <w:rsid w:val="00C53726"/>
    <w:rsid w:val="00CD28EA"/>
    <w:rsid w:val="00D1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D34F"/>
  <w15:docId w15:val="{D1F0955E-3BC5-4782-9566-AF90A547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E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8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SSteinhiser</dc:creator>
  <cp:lastModifiedBy>Diana Estey</cp:lastModifiedBy>
  <cp:revision>2</cp:revision>
  <cp:lastPrinted>2018-09-17T17:31:00Z</cp:lastPrinted>
  <dcterms:created xsi:type="dcterms:W3CDTF">2018-09-18T20:42:00Z</dcterms:created>
  <dcterms:modified xsi:type="dcterms:W3CDTF">2018-09-18T20:42:00Z</dcterms:modified>
</cp:coreProperties>
</file>